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2B" w:rsidRDefault="003B092B">
      <w:pPr>
        <w:widowControl/>
        <w:spacing w:before="100" w:beforeAutospacing="1" w:after="390"/>
        <w:jc w:val="left"/>
        <w:rPr>
          <w:rFonts w:ascii="Helvetica" w:hAnsi="Helvetica" w:cs="Helvetica"/>
          <w:b/>
          <w:bCs/>
          <w:color w:val="000000"/>
          <w:sz w:val="23"/>
          <w:szCs w:val="23"/>
        </w:rPr>
      </w:pPr>
      <w:r>
        <w:rPr>
          <w:rFonts w:ascii="Helvetica" w:hAnsi="Helvetica" w:cs="Helvetica"/>
          <w:b/>
          <w:bCs/>
          <w:color w:val="000000"/>
          <w:sz w:val="23"/>
          <w:szCs w:val="23"/>
        </w:rPr>
        <w:t xml:space="preserve">CRAC QRP Golden Week HF Contest </w:t>
      </w:r>
      <w:r w:rsidRPr="004E354B">
        <w:rPr>
          <w:rFonts w:ascii="Helvetica" w:hAnsi="Helvetica" w:cs="Helvetica"/>
          <w:b/>
          <w:bCs/>
          <w:color w:val="000000"/>
          <w:sz w:val="23"/>
          <w:szCs w:val="23"/>
        </w:rPr>
        <w:t>2018</w:t>
      </w:r>
      <w:bookmarkStart w:id="0" w:name="_GoBack"/>
      <w:bookmarkEnd w:id="0"/>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1. Objective</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To be in coordination with IARU QRP day on June 17</w:t>
      </w:r>
      <w:r>
        <w:rPr>
          <w:rFonts w:ascii="Tahoma" w:hAnsi="Tahoma" w:cs="Tahoma"/>
          <w:color w:val="000000"/>
          <w:kern w:val="0"/>
          <w:sz w:val="24"/>
          <w:szCs w:val="24"/>
          <w:vertAlign w:val="superscript"/>
        </w:rPr>
        <w:t xml:space="preserve">th </w:t>
      </w:r>
      <w:r w:rsidRPr="004E354B">
        <w:rPr>
          <w:rFonts w:ascii="Helvetica" w:hAnsi="Helvetica" w:cs="Helvetica"/>
          <w:color w:val="000000"/>
          <w:kern w:val="0"/>
          <w:sz w:val="27"/>
          <w:szCs w:val="27"/>
        </w:rPr>
        <w:t>2018,</w:t>
      </w:r>
      <w:r>
        <w:rPr>
          <w:rFonts w:ascii="Helvetica" w:hAnsi="Helvetica" w:cs="Helvetica"/>
          <w:color w:val="000000"/>
          <w:kern w:val="0"/>
          <w:sz w:val="27"/>
          <w:szCs w:val="27"/>
        </w:rPr>
        <w:t> and to encourage QRP contacts among Chinese and DX stations (two-way QRP contacts are especially encouraged), Chinese Radio Amateurs Club (CRAC) will hold a QRP Golden Week HF contest.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2. Date and Time Period</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 xml:space="preserve">The contest will begin at UTC 0000, </w:t>
      </w:r>
      <w:r w:rsidRPr="00057B24">
        <w:rPr>
          <w:rFonts w:ascii="Helvetica" w:hAnsi="Helvetica" w:cs="Helvetica"/>
          <w:color w:val="000000"/>
          <w:kern w:val="0"/>
          <w:sz w:val="27"/>
          <w:szCs w:val="27"/>
        </w:rPr>
        <w:t>17</w:t>
      </w:r>
      <w:r w:rsidRPr="00057B24">
        <w:rPr>
          <w:rFonts w:ascii="Tahoma" w:hAnsi="Tahoma" w:cs="Tahoma"/>
          <w:color w:val="000000"/>
          <w:kern w:val="0"/>
          <w:sz w:val="24"/>
          <w:szCs w:val="24"/>
          <w:vertAlign w:val="superscript"/>
        </w:rPr>
        <w:t>th</w:t>
      </w:r>
      <w:r w:rsidRPr="00057B24">
        <w:rPr>
          <w:rFonts w:ascii="Helvetica" w:hAnsi="Helvetica" w:cs="Helvetica"/>
          <w:color w:val="000000"/>
          <w:kern w:val="0"/>
          <w:sz w:val="27"/>
          <w:szCs w:val="27"/>
        </w:rPr>
        <w:t xml:space="preserve"> June,2018,</w:t>
      </w:r>
      <w:r>
        <w:rPr>
          <w:rFonts w:ascii="Helvetica" w:hAnsi="Helvetica" w:cs="Helvetica"/>
          <w:color w:val="000000"/>
          <w:kern w:val="0"/>
          <w:sz w:val="27"/>
          <w:szCs w:val="27"/>
        </w:rPr>
        <w:t xml:space="preserve"> and end at UTC 2359</w:t>
      </w:r>
      <w:r w:rsidRPr="00057B24">
        <w:rPr>
          <w:rFonts w:ascii="Helvetica" w:hAnsi="Helvetica" w:cs="Helvetica"/>
          <w:color w:val="000000"/>
          <w:kern w:val="0"/>
          <w:sz w:val="27"/>
          <w:szCs w:val="27"/>
        </w:rPr>
        <w:t>,23</w:t>
      </w:r>
      <w:r w:rsidRPr="00057B24">
        <w:rPr>
          <w:rFonts w:ascii="Tahoma" w:hAnsi="Tahoma" w:cs="Tahoma"/>
          <w:color w:val="000000"/>
          <w:kern w:val="0"/>
          <w:sz w:val="24"/>
          <w:szCs w:val="24"/>
          <w:vertAlign w:val="superscript"/>
        </w:rPr>
        <w:t>th</w:t>
      </w:r>
      <w:r w:rsidRPr="00057B24">
        <w:rPr>
          <w:rFonts w:ascii="Helvetica" w:hAnsi="Helvetica" w:cs="Helvetica"/>
          <w:color w:val="000000"/>
          <w:kern w:val="0"/>
          <w:sz w:val="27"/>
          <w:szCs w:val="27"/>
        </w:rPr>
        <w:t xml:space="preserve"> June,2018</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3. Equipment/Power/Callsign</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3.1 At least one station’s transmitter output of a QSO, is 5 watts or less.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3.2 Using homemade QRP transceivers and field operation by using QRP transceivers are recommended</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3.3 QRP entrants must add /QRP to the callsign for identification.</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4 Band &amp; Mode</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 xml:space="preserve">Band: 10m/15m/20m/40m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Mode: CW/Phone/Data (RTTY/PSK31/</w:t>
      </w:r>
      <w:r w:rsidRPr="00057B24">
        <w:rPr>
          <w:rFonts w:ascii="Helvetica" w:hAnsi="Helvetica" w:cs="Helvetica"/>
          <w:color w:val="000000"/>
          <w:kern w:val="0"/>
          <w:sz w:val="27"/>
          <w:szCs w:val="27"/>
        </w:rPr>
        <w:t>FT8)</w:t>
      </w:r>
      <w:r>
        <w:rPr>
          <w:rFonts w:ascii="Helvetica" w:hAnsi="Helvetica" w:cs="Helvetica"/>
          <w:color w:val="000000"/>
          <w:kern w:val="0"/>
          <w:sz w:val="27"/>
          <w:szCs w:val="27"/>
        </w:rPr>
        <w:t>/Mix</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5. Entry Categories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5.1 Basic Category</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QRP Single Operator, All Band Mix</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QRP Single Operator Single Band Mix</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QRP Single Operator, All Band One mode</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QRP Single Operator Single Band One mode</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Non-QRP: Single Operator All Band Mix</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000000"/>
          <w:kern w:val="0"/>
          <w:sz w:val="27"/>
          <w:szCs w:val="27"/>
        </w:rPr>
        <w:t> </w:t>
      </w:r>
    </w:p>
    <w:p w:rsidR="003B092B" w:rsidRDefault="003B092B">
      <w:pPr>
        <w:widowControl/>
        <w:spacing w:before="100" w:beforeAutospacing="1" w:after="390"/>
        <w:jc w:val="center"/>
        <w:rPr>
          <w:rFonts w:ascii="Helvetica" w:hAnsi="Helvetica" w:cs="Helvetica"/>
          <w:color w:val="333333"/>
          <w:kern w:val="0"/>
          <w:sz w:val="23"/>
          <w:szCs w:val="23"/>
        </w:rPr>
      </w:pPr>
      <w:r>
        <w:rPr>
          <w:rFonts w:ascii="Helvetica" w:hAnsi="Helvetica" w:cs="Helvetica"/>
          <w:color w:val="000000"/>
          <w:kern w:val="0"/>
          <w:sz w:val="27"/>
          <w:szCs w:val="27"/>
        </w:rPr>
        <w:t>Table1 - Category Details</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809"/>
        <w:gridCol w:w="1810"/>
        <w:gridCol w:w="1810"/>
        <w:gridCol w:w="1810"/>
      </w:tblGrid>
      <w:tr w:rsidR="003B092B" w:rsidRPr="002D3372" w:rsidTr="002D3372">
        <w:tc>
          <w:tcPr>
            <w:tcW w:w="1809" w:type="dxa"/>
            <w:vMerge w:val="restart"/>
          </w:tcPr>
          <w:p w:rsidR="003B092B" w:rsidRPr="002D3372" w:rsidRDefault="003B092B" w:rsidP="002D3372">
            <w:pPr>
              <w:widowControl/>
              <w:spacing w:before="100" w:beforeAutospacing="1" w:after="390"/>
              <w:ind w:left="120" w:right="120"/>
              <w:jc w:val="left"/>
              <w:rPr>
                <w:rFonts w:ascii="Verdana" w:hAnsi="Verdana" w:cs="Helvetica"/>
                <w:color w:val="000000"/>
                <w:kern w:val="0"/>
                <w:sz w:val="17"/>
                <w:szCs w:val="17"/>
              </w:rPr>
            </w:pPr>
            <w:r w:rsidRPr="002D3372">
              <w:rPr>
                <w:rFonts w:ascii="Verdana" w:hAnsi="Verdana" w:cs="Helvetica"/>
                <w:color w:val="000000"/>
                <w:kern w:val="0"/>
                <w:sz w:val="27"/>
                <w:szCs w:val="27"/>
              </w:rPr>
              <w:t>QRP</w:t>
            </w:r>
          </w:p>
        </w:tc>
        <w:tc>
          <w:tcPr>
            <w:tcW w:w="18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7"/>
                <w:szCs w:val="17"/>
              </w:rPr>
            </w:pPr>
            <w:r w:rsidRPr="002D3372">
              <w:rPr>
                <w:rFonts w:ascii="Verdana" w:hAnsi="Verdana" w:cs="Helvetica"/>
                <w:color w:val="000000"/>
                <w:kern w:val="0"/>
                <w:sz w:val="27"/>
                <w:szCs w:val="27"/>
              </w:rPr>
              <w:t>ALL band Mix</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ALL band Phone</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ALL band CW</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ALL band Digital</w:t>
            </w:r>
          </w:p>
        </w:tc>
      </w:tr>
      <w:tr w:rsidR="003B092B" w:rsidRPr="002D3372" w:rsidTr="002D3372">
        <w:tc>
          <w:tcPr>
            <w:tcW w:w="1809" w:type="dxa"/>
            <w:vMerge/>
          </w:tcPr>
          <w:p w:rsidR="003B092B" w:rsidRPr="002D3372" w:rsidRDefault="003B092B" w:rsidP="002D3372">
            <w:pPr>
              <w:widowControl/>
              <w:jc w:val="left"/>
              <w:rPr>
                <w:rFonts w:ascii="Verdana" w:hAnsi="Verdana" w:cs="Helvetica"/>
                <w:color w:val="000000"/>
                <w:kern w:val="0"/>
                <w:sz w:val="17"/>
                <w:szCs w:val="17"/>
              </w:rPr>
            </w:pPr>
          </w:p>
        </w:tc>
        <w:tc>
          <w:tcPr>
            <w:tcW w:w="18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7"/>
                <w:szCs w:val="17"/>
              </w:rPr>
            </w:pPr>
            <w:r w:rsidRPr="002D3372">
              <w:rPr>
                <w:rFonts w:ascii="Verdana" w:hAnsi="Verdana" w:cs="Helvetica"/>
                <w:color w:val="000000"/>
                <w:kern w:val="0"/>
                <w:sz w:val="27"/>
                <w:szCs w:val="27"/>
              </w:rPr>
              <w:t>40m Mix</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40m Phone</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40m CW</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40m Data</w:t>
            </w:r>
          </w:p>
        </w:tc>
      </w:tr>
      <w:tr w:rsidR="003B092B" w:rsidRPr="002D3372" w:rsidTr="002D3372">
        <w:tc>
          <w:tcPr>
            <w:tcW w:w="1809" w:type="dxa"/>
            <w:vMerge/>
          </w:tcPr>
          <w:p w:rsidR="003B092B" w:rsidRPr="002D3372" w:rsidRDefault="003B092B" w:rsidP="002D3372">
            <w:pPr>
              <w:widowControl/>
              <w:jc w:val="left"/>
              <w:rPr>
                <w:rFonts w:ascii="Verdana" w:hAnsi="Verdana" w:cs="Helvetica"/>
                <w:color w:val="000000"/>
                <w:kern w:val="0"/>
                <w:sz w:val="17"/>
                <w:szCs w:val="17"/>
              </w:rPr>
            </w:pPr>
          </w:p>
        </w:tc>
        <w:tc>
          <w:tcPr>
            <w:tcW w:w="18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7"/>
                <w:szCs w:val="17"/>
              </w:rPr>
            </w:pPr>
            <w:r w:rsidRPr="002D3372">
              <w:rPr>
                <w:rFonts w:ascii="Verdana" w:hAnsi="Verdana" w:cs="Helvetica"/>
                <w:color w:val="000000"/>
                <w:kern w:val="0"/>
                <w:sz w:val="27"/>
                <w:szCs w:val="27"/>
              </w:rPr>
              <w:t>20m Mix</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20m Phone</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20m CW</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20m Data</w:t>
            </w:r>
          </w:p>
        </w:tc>
      </w:tr>
      <w:tr w:rsidR="003B092B" w:rsidRPr="002D3372" w:rsidTr="002D3372">
        <w:tc>
          <w:tcPr>
            <w:tcW w:w="1809" w:type="dxa"/>
            <w:vMerge/>
          </w:tcPr>
          <w:p w:rsidR="003B092B" w:rsidRPr="002D3372" w:rsidRDefault="003B092B" w:rsidP="002D3372">
            <w:pPr>
              <w:widowControl/>
              <w:jc w:val="left"/>
              <w:rPr>
                <w:rFonts w:ascii="Verdana" w:hAnsi="Verdana" w:cs="Helvetica"/>
                <w:color w:val="000000"/>
                <w:kern w:val="0"/>
                <w:sz w:val="17"/>
                <w:szCs w:val="17"/>
              </w:rPr>
            </w:pPr>
          </w:p>
        </w:tc>
        <w:tc>
          <w:tcPr>
            <w:tcW w:w="18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7"/>
                <w:szCs w:val="17"/>
              </w:rPr>
            </w:pPr>
            <w:r w:rsidRPr="002D3372">
              <w:rPr>
                <w:rFonts w:ascii="Verdana" w:hAnsi="Verdana" w:cs="Helvetica"/>
                <w:color w:val="000000"/>
                <w:kern w:val="0"/>
                <w:sz w:val="27"/>
                <w:szCs w:val="27"/>
              </w:rPr>
              <w:t>15m Mix</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15m Phone</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15m CW</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15m Data</w:t>
            </w:r>
          </w:p>
        </w:tc>
      </w:tr>
      <w:tr w:rsidR="003B092B" w:rsidRPr="002D3372" w:rsidTr="002D3372">
        <w:tc>
          <w:tcPr>
            <w:tcW w:w="1809" w:type="dxa"/>
            <w:vMerge/>
          </w:tcPr>
          <w:p w:rsidR="003B092B" w:rsidRPr="002D3372" w:rsidRDefault="003B092B" w:rsidP="002D3372">
            <w:pPr>
              <w:widowControl/>
              <w:jc w:val="left"/>
              <w:rPr>
                <w:rFonts w:ascii="Verdana" w:hAnsi="Verdana" w:cs="Helvetica"/>
                <w:color w:val="000000"/>
                <w:kern w:val="0"/>
                <w:sz w:val="17"/>
                <w:szCs w:val="17"/>
              </w:rPr>
            </w:pPr>
          </w:p>
        </w:tc>
        <w:tc>
          <w:tcPr>
            <w:tcW w:w="18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7"/>
                <w:szCs w:val="17"/>
              </w:rPr>
            </w:pPr>
            <w:r w:rsidRPr="002D3372">
              <w:rPr>
                <w:rFonts w:ascii="Verdana" w:hAnsi="Verdana" w:cs="Helvetica"/>
                <w:color w:val="000000"/>
                <w:kern w:val="0"/>
                <w:sz w:val="27"/>
                <w:szCs w:val="27"/>
              </w:rPr>
              <w:t>10m Mix</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10m Phone</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10m CW</w:t>
            </w:r>
          </w:p>
        </w:tc>
        <w:tc>
          <w:tcPr>
            <w:tcW w:w="181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24"/>
                <w:szCs w:val="24"/>
              </w:rPr>
            </w:pPr>
            <w:r w:rsidRPr="002D3372">
              <w:rPr>
                <w:rFonts w:ascii="Verdana" w:hAnsi="Verdana" w:cs="Helvetica"/>
                <w:color w:val="000000"/>
                <w:kern w:val="0"/>
                <w:sz w:val="24"/>
                <w:szCs w:val="24"/>
              </w:rPr>
              <w:t>10m Data</w:t>
            </w:r>
          </w:p>
        </w:tc>
      </w:tr>
      <w:tr w:rsidR="003B092B" w:rsidRPr="002D3372" w:rsidTr="002D3372">
        <w:tc>
          <w:tcPr>
            <w:tcW w:w="9048" w:type="dxa"/>
            <w:gridSpan w:val="5"/>
          </w:tcPr>
          <w:p w:rsidR="003B092B" w:rsidRPr="002D3372" w:rsidRDefault="003B092B" w:rsidP="002D3372">
            <w:pPr>
              <w:widowControl/>
              <w:spacing w:before="100" w:beforeAutospacing="1" w:after="390"/>
              <w:ind w:left="120" w:right="120"/>
              <w:jc w:val="left"/>
              <w:rPr>
                <w:rFonts w:ascii="Verdana" w:hAnsi="Verdana" w:cs="Helvetica"/>
                <w:color w:val="000000"/>
                <w:kern w:val="0"/>
                <w:sz w:val="17"/>
                <w:szCs w:val="17"/>
              </w:rPr>
            </w:pPr>
            <w:r w:rsidRPr="002D3372">
              <w:rPr>
                <w:rFonts w:ascii="Verdana" w:hAnsi="Verdana" w:cs="Helvetica"/>
                <w:color w:val="000000"/>
                <w:kern w:val="0"/>
                <w:sz w:val="27"/>
                <w:szCs w:val="27"/>
              </w:rPr>
              <w:t>Non-QRP (Power exceeds 5w): Single Operator All Band Mix, Assisted</w:t>
            </w:r>
          </w:p>
        </w:tc>
      </w:tr>
    </w:tbl>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5.2 Sub-Categories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xml:space="preserve">5.2.1 To encourage using homemade QRP transceivers, entrants using homemade QRP transceiver will receive a Homemade Sticker by providing the homemade transceiver’s electronic picture with the file name in form like ‘callsign-photo number.jpg’, forwarded to the contest committee. </w:t>
      </w:r>
    </w:p>
    <w:p w:rsidR="003B092B" w:rsidRDefault="003B092B">
      <w:pPr>
        <w:widowControl/>
        <w:spacing w:before="100" w:beforeAutospacing="1" w:after="390"/>
        <w:jc w:val="left"/>
        <w:rPr>
          <w:rFonts w:ascii="Helvetica" w:hAnsi="Helvetica" w:cs="Helvetica"/>
          <w:color w:val="333333"/>
          <w:kern w:val="0"/>
          <w:sz w:val="27"/>
          <w:szCs w:val="27"/>
        </w:rPr>
      </w:pPr>
      <w:r>
        <w:rPr>
          <w:rFonts w:ascii="Helvetica" w:hAnsi="Helvetica" w:cs="Helvetica"/>
          <w:color w:val="333333"/>
          <w:kern w:val="0"/>
          <w:sz w:val="27"/>
          <w:szCs w:val="27"/>
        </w:rPr>
        <w:t>5.2.2 To encourage field contacts using QRP transceivers,the entrants who had field-operating no less than one day during the event may receive a Field Sticker by providing the field operating pictures with the file name in form like ‘callsign-photo number.jpg’, to the contest committee.</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5.3 Only QRP or Non-QRP Single Operator All Band Mixed Mode category for DX stations.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6 Exchange:</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59(9) + transmitter output power</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7 Multipliers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One Chinese section QSO in each band, counts a multiplier. Chinese section multipliers include: B0\B1\B2\B3\B4\B5\B6\B7\B8\B9\BV\VR2\XX9  (BS7 will be counted as B7; BV9P will be counted as BV)</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8 QSO Scoring</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8.1 General Rules of QSO Scoring : at least one station of a QSO needs to be QRP, and at least one station of a QSO needs to be a Chinese station (including BY/BV/VR2/XX9)</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8.2 Detail Rules of QSO Scoring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A QSO between an Asian Non-QRP DX station and a Chinese QRP station: 5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A QSO between an Asian QRP DX station and a Chinese QRP station: 10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A QSO between an Asian QRP DX station and a Chinese Non-QRP station: 3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xml:space="preserve">A QSO between a Non-QRP DX station out of </w:t>
      </w:r>
      <w:smartTag w:uri="urn:schemas-microsoft-com:office:smarttags" w:element="place">
        <w:r>
          <w:rPr>
            <w:rFonts w:ascii="Helvetica" w:hAnsi="Helvetica" w:cs="Helvetica"/>
            <w:color w:val="333333"/>
            <w:kern w:val="0"/>
            <w:sz w:val="27"/>
            <w:szCs w:val="27"/>
          </w:rPr>
          <w:t>Asia</w:t>
        </w:r>
      </w:smartTag>
      <w:r>
        <w:rPr>
          <w:rFonts w:ascii="Helvetica" w:hAnsi="Helvetica" w:cs="Helvetica"/>
          <w:color w:val="333333"/>
          <w:kern w:val="0"/>
          <w:sz w:val="27"/>
          <w:szCs w:val="27"/>
        </w:rPr>
        <w:t xml:space="preserve"> and a Chinese QRP station: 10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xml:space="preserve">A QSO between a QRP DX station out of </w:t>
      </w:r>
      <w:smartTag w:uri="urn:schemas-microsoft-com:office:smarttags" w:element="place">
        <w:r>
          <w:rPr>
            <w:rFonts w:ascii="Helvetica" w:hAnsi="Helvetica" w:cs="Helvetica"/>
            <w:color w:val="333333"/>
            <w:kern w:val="0"/>
            <w:sz w:val="27"/>
            <w:szCs w:val="27"/>
          </w:rPr>
          <w:t>Asia</w:t>
        </w:r>
      </w:smartTag>
      <w:r>
        <w:rPr>
          <w:rFonts w:ascii="Helvetica" w:hAnsi="Helvetica" w:cs="Helvetica"/>
          <w:color w:val="333333"/>
          <w:kern w:val="0"/>
          <w:sz w:val="27"/>
          <w:szCs w:val="27"/>
        </w:rPr>
        <w:t xml:space="preserve"> and a Chinese QRP station: 20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xml:space="preserve">A QSO between a QRP DX station out of </w:t>
      </w:r>
      <w:smartTag w:uri="urn:schemas-microsoft-com:office:smarttags" w:element="place">
        <w:r>
          <w:rPr>
            <w:rFonts w:ascii="Helvetica" w:hAnsi="Helvetica" w:cs="Helvetica"/>
            <w:color w:val="333333"/>
            <w:kern w:val="0"/>
            <w:sz w:val="27"/>
            <w:szCs w:val="27"/>
          </w:rPr>
          <w:t>Asia</w:t>
        </w:r>
      </w:smartTag>
      <w:r>
        <w:rPr>
          <w:rFonts w:ascii="Helvetica" w:hAnsi="Helvetica" w:cs="Helvetica"/>
          <w:color w:val="333333"/>
          <w:kern w:val="0"/>
          <w:sz w:val="27"/>
          <w:szCs w:val="27"/>
        </w:rPr>
        <w:t xml:space="preserve"> and a Chinese Non-QRP station: 5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A QSO between a Chinese non-QRP station and a Chinese QRP station: 2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A QSO between a Chinese non-QRP station and an Asian QRP DX station: 3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xml:space="preserve">A QSO between a Chinse non-QRP station and a QRP DX station out of </w:t>
      </w:r>
      <w:smartTag w:uri="urn:schemas-microsoft-com:office:smarttags" w:element="place">
        <w:r>
          <w:rPr>
            <w:rFonts w:ascii="Helvetica" w:hAnsi="Helvetica" w:cs="Helvetica"/>
            <w:color w:val="333333"/>
            <w:kern w:val="0"/>
            <w:sz w:val="27"/>
            <w:szCs w:val="27"/>
          </w:rPr>
          <w:t>Asia</w:t>
        </w:r>
      </w:smartTag>
      <w:r>
        <w:rPr>
          <w:rFonts w:ascii="Helvetica" w:hAnsi="Helvetica" w:cs="Helvetica"/>
          <w:color w:val="333333"/>
          <w:kern w:val="0"/>
          <w:sz w:val="27"/>
          <w:szCs w:val="27"/>
        </w:rPr>
        <w:t>: 5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A QSO between a Chinese QRP station and a Chinese QRP station: 4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A QSO between a Chinese QRP station and a Chinese non-QRP station: 2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A QSO between a Chinese QRP station and an Asian non-QRP DX station: 3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A QSO between a Chinese QRP station and an Asian QRP DX station: 6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xml:space="preserve">A QSO between a Chinese QRP station and a non-QRP station out of </w:t>
      </w:r>
      <w:smartTag w:uri="urn:schemas-microsoft-com:office:smarttags" w:element="place">
        <w:r>
          <w:rPr>
            <w:rFonts w:ascii="Helvetica" w:hAnsi="Helvetica" w:cs="Helvetica"/>
            <w:color w:val="333333"/>
            <w:kern w:val="0"/>
            <w:sz w:val="27"/>
            <w:szCs w:val="27"/>
          </w:rPr>
          <w:t>Asia</w:t>
        </w:r>
      </w:smartTag>
      <w:r>
        <w:rPr>
          <w:rFonts w:ascii="Helvetica" w:hAnsi="Helvetica" w:cs="Helvetica"/>
          <w:color w:val="333333"/>
          <w:kern w:val="0"/>
          <w:sz w:val="27"/>
          <w:szCs w:val="27"/>
        </w:rPr>
        <w:t>: 10 points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xml:space="preserve">A QSO between a Chinses QRP station and a QRP DX station out of </w:t>
      </w:r>
      <w:smartTag w:uri="urn:schemas-microsoft-com:office:smarttags" w:element="place">
        <w:r>
          <w:rPr>
            <w:rFonts w:ascii="Helvetica" w:hAnsi="Helvetica" w:cs="Helvetica"/>
            <w:color w:val="333333"/>
            <w:kern w:val="0"/>
            <w:sz w:val="27"/>
            <w:szCs w:val="27"/>
          </w:rPr>
          <w:t>Asia</w:t>
        </w:r>
      </w:smartTag>
      <w:r>
        <w:rPr>
          <w:rFonts w:ascii="Helvetica" w:hAnsi="Helvetica" w:cs="Helvetica"/>
          <w:color w:val="333333"/>
          <w:kern w:val="0"/>
          <w:sz w:val="27"/>
          <w:szCs w:val="27"/>
        </w:rPr>
        <w:t>: 20 points</w:t>
      </w:r>
    </w:p>
    <w:p w:rsidR="003B092B" w:rsidRDefault="003B092B">
      <w:pPr>
        <w:widowControl/>
        <w:spacing w:before="100" w:beforeAutospacing="1" w:after="390"/>
        <w:jc w:val="center"/>
        <w:rPr>
          <w:rFonts w:ascii="Helvetica" w:hAnsi="Helvetica" w:cs="Helvetica"/>
          <w:color w:val="333333"/>
          <w:kern w:val="0"/>
          <w:sz w:val="23"/>
          <w:szCs w:val="23"/>
        </w:rPr>
      </w:pPr>
      <w:r>
        <w:rPr>
          <w:rFonts w:ascii="Helvetica" w:hAnsi="Helvetica" w:cs="Helvetica"/>
          <w:color w:val="333333"/>
          <w:kern w:val="0"/>
          <w:sz w:val="27"/>
          <w:szCs w:val="27"/>
        </w:rPr>
        <w:t>Table2-Detail QSO scores</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27"/>
        <w:gridCol w:w="870"/>
        <w:gridCol w:w="1309"/>
        <w:gridCol w:w="988"/>
        <w:gridCol w:w="1309"/>
        <w:gridCol w:w="1036"/>
        <w:gridCol w:w="1309"/>
      </w:tblGrid>
      <w:tr w:rsidR="003B092B" w:rsidRPr="002D3372" w:rsidTr="002D3372">
        <w:tc>
          <w:tcPr>
            <w:tcW w:w="2227"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 </w:t>
            </w:r>
          </w:p>
        </w:tc>
        <w:tc>
          <w:tcPr>
            <w:tcW w:w="87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CN QRP</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CN non-QRP</w:t>
            </w:r>
          </w:p>
        </w:tc>
        <w:tc>
          <w:tcPr>
            <w:tcW w:w="988"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Asian QRP</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Asian non-QRP</w:t>
            </w:r>
          </w:p>
        </w:tc>
        <w:tc>
          <w:tcPr>
            <w:tcW w:w="1036"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 xml:space="preserve">Out of </w:t>
            </w:r>
            <w:smartTag w:uri="urn:schemas-microsoft-com:office:smarttags" w:element="place">
              <w:r w:rsidRPr="002D3372">
                <w:rPr>
                  <w:rFonts w:ascii="Verdana" w:hAnsi="Verdana" w:cs="Helvetica"/>
                  <w:color w:val="000000"/>
                  <w:kern w:val="0"/>
                  <w:sz w:val="18"/>
                  <w:szCs w:val="18"/>
                </w:rPr>
                <w:t>Asia</w:t>
              </w:r>
            </w:smartTag>
            <w:r w:rsidRPr="002D3372">
              <w:rPr>
                <w:rFonts w:ascii="Verdana" w:hAnsi="Verdana" w:cs="Helvetica"/>
                <w:color w:val="000000"/>
                <w:kern w:val="0"/>
                <w:sz w:val="18"/>
                <w:szCs w:val="18"/>
              </w:rPr>
              <w:t xml:space="preserve"> QRP</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 xml:space="preserve">Out of </w:t>
            </w:r>
            <w:smartTag w:uri="urn:schemas-microsoft-com:office:smarttags" w:element="place">
              <w:r w:rsidRPr="002D3372">
                <w:rPr>
                  <w:rFonts w:ascii="Verdana" w:hAnsi="Verdana" w:cs="Helvetica"/>
                  <w:color w:val="000000"/>
                  <w:kern w:val="0"/>
                  <w:sz w:val="18"/>
                  <w:szCs w:val="18"/>
                </w:rPr>
                <w:t>Asia</w:t>
              </w:r>
            </w:smartTag>
            <w:r w:rsidRPr="002D3372">
              <w:rPr>
                <w:rFonts w:ascii="Verdana" w:hAnsi="Verdana" w:cs="Helvetica"/>
                <w:color w:val="000000"/>
                <w:kern w:val="0"/>
                <w:sz w:val="18"/>
                <w:szCs w:val="18"/>
              </w:rPr>
              <w:t xml:space="preserve"> non-QRP</w:t>
            </w:r>
          </w:p>
        </w:tc>
      </w:tr>
      <w:tr w:rsidR="003B092B" w:rsidRPr="002D3372" w:rsidTr="002D3372">
        <w:tc>
          <w:tcPr>
            <w:tcW w:w="2227"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CN QRP</w:t>
            </w:r>
          </w:p>
        </w:tc>
        <w:tc>
          <w:tcPr>
            <w:tcW w:w="87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4</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2</w:t>
            </w:r>
          </w:p>
        </w:tc>
        <w:tc>
          <w:tcPr>
            <w:tcW w:w="988"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6</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3</w:t>
            </w:r>
          </w:p>
        </w:tc>
        <w:tc>
          <w:tcPr>
            <w:tcW w:w="1036"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20</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10</w:t>
            </w:r>
          </w:p>
        </w:tc>
      </w:tr>
      <w:tr w:rsidR="003B092B" w:rsidRPr="002D3372" w:rsidTr="002D3372">
        <w:tc>
          <w:tcPr>
            <w:tcW w:w="2227"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CN non-QRP</w:t>
            </w:r>
          </w:p>
        </w:tc>
        <w:tc>
          <w:tcPr>
            <w:tcW w:w="87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2</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988"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3</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036"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5</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r>
      <w:tr w:rsidR="003B092B" w:rsidRPr="002D3372" w:rsidTr="002D3372">
        <w:tc>
          <w:tcPr>
            <w:tcW w:w="2227"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Asian QRP</w:t>
            </w:r>
          </w:p>
        </w:tc>
        <w:tc>
          <w:tcPr>
            <w:tcW w:w="87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10</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3</w:t>
            </w:r>
          </w:p>
        </w:tc>
        <w:tc>
          <w:tcPr>
            <w:tcW w:w="988"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036"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r>
      <w:tr w:rsidR="003B092B" w:rsidRPr="002D3372" w:rsidTr="002D3372">
        <w:tc>
          <w:tcPr>
            <w:tcW w:w="2227"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Asian non-QRP</w:t>
            </w:r>
          </w:p>
        </w:tc>
        <w:tc>
          <w:tcPr>
            <w:tcW w:w="87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5</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988"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036"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r>
      <w:tr w:rsidR="003B092B" w:rsidRPr="002D3372" w:rsidTr="002D3372">
        <w:tc>
          <w:tcPr>
            <w:tcW w:w="2227"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 xml:space="preserve">Out of </w:t>
            </w:r>
            <w:smartTag w:uri="urn:schemas-microsoft-com:office:smarttags" w:element="place">
              <w:r w:rsidRPr="002D3372">
                <w:rPr>
                  <w:rFonts w:ascii="Verdana" w:hAnsi="Verdana" w:cs="Helvetica"/>
                  <w:color w:val="000000"/>
                  <w:kern w:val="0"/>
                  <w:sz w:val="18"/>
                  <w:szCs w:val="18"/>
                </w:rPr>
                <w:t>Asia</w:t>
              </w:r>
            </w:smartTag>
            <w:r w:rsidRPr="002D3372">
              <w:rPr>
                <w:rFonts w:ascii="Verdana" w:hAnsi="Verdana" w:cs="Helvetica"/>
                <w:color w:val="000000"/>
                <w:kern w:val="0"/>
                <w:sz w:val="18"/>
                <w:szCs w:val="18"/>
              </w:rPr>
              <w:t xml:space="preserve"> QRP</w:t>
            </w:r>
          </w:p>
        </w:tc>
        <w:tc>
          <w:tcPr>
            <w:tcW w:w="87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20</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5</w:t>
            </w:r>
          </w:p>
        </w:tc>
        <w:tc>
          <w:tcPr>
            <w:tcW w:w="988"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036"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r>
      <w:tr w:rsidR="003B092B" w:rsidRPr="002D3372" w:rsidTr="002D3372">
        <w:tc>
          <w:tcPr>
            <w:tcW w:w="2227"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 xml:space="preserve">Out of </w:t>
            </w:r>
            <w:smartTag w:uri="urn:schemas-microsoft-com:office:smarttags" w:element="place">
              <w:r w:rsidRPr="002D3372">
                <w:rPr>
                  <w:rFonts w:ascii="Verdana" w:hAnsi="Verdana" w:cs="Helvetica"/>
                  <w:color w:val="000000"/>
                  <w:kern w:val="0"/>
                  <w:sz w:val="18"/>
                  <w:szCs w:val="18"/>
                </w:rPr>
                <w:t>Asia</w:t>
              </w:r>
            </w:smartTag>
            <w:r w:rsidRPr="002D3372">
              <w:rPr>
                <w:rFonts w:ascii="Verdana" w:hAnsi="Verdana" w:cs="Helvetica"/>
                <w:color w:val="000000"/>
                <w:kern w:val="0"/>
                <w:sz w:val="18"/>
                <w:szCs w:val="18"/>
              </w:rPr>
              <w:t xml:space="preserve"> non-QRP</w:t>
            </w:r>
          </w:p>
        </w:tc>
        <w:tc>
          <w:tcPr>
            <w:tcW w:w="870"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5</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988"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036"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c>
          <w:tcPr>
            <w:tcW w:w="1309" w:type="dxa"/>
          </w:tcPr>
          <w:p w:rsidR="003B092B" w:rsidRPr="002D3372" w:rsidRDefault="003B092B" w:rsidP="002D3372">
            <w:pPr>
              <w:widowControl/>
              <w:spacing w:before="100" w:beforeAutospacing="1" w:after="390"/>
              <w:ind w:left="120" w:right="120"/>
              <w:jc w:val="left"/>
              <w:rPr>
                <w:rFonts w:ascii="Verdana" w:hAnsi="Verdana" w:cs="Helvetica"/>
                <w:color w:val="000000"/>
                <w:kern w:val="0"/>
                <w:sz w:val="18"/>
                <w:szCs w:val="18"/>
              </w:rPr>
            </w:pPr>
            <w:r w:rsidRPr="002D3372">
              <w:rPr>
                <w:rFonts w:ascii="Verdana" w:hAnsi="Verdana" w:cs="Helvetica"/>
                <w:color w:val="000000"/>
                <w:kern w:val="0"/>
                <w:sz w:val="18"/>
                <w:szCs w:val="18"/>
              </w:rPr>
              <w:t>0</w:t>
            </w:r>
          </w:p>
        </w:tc>
      </w:tr>
    </w:tbl>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8.3 Marine mobile and Aerial mobile station will be counted as DX station of same continent</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9 Total score</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Total score= QSO points X multipliers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10 Awards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10.1 For Chinese entrants: Certificates will be issued to each category listed in section 5 of the rules.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10.2 Entrants using homemade QRP transceivers and entrants had field-operating by using QRP transceivers will receive a Homemade and/or Field Sticker</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10.3 For non-QRP Chinese entrants: Top Ten Certificates will be issued</w:t>
      </w:r>
      <w:r>
        <w:rPr>
          <w:rFonts w:ascii="Helvetica" w:hAnsi="Helvetica" w:cs="Helvetica"/>
          <w:color w:val="333333"/>
          <w:kern w:val="0"/>
          <w:sz w:val="23"/>
          <w:szCs w:val="23"/>
        </w:rPr>
        <w:t xml:space="preserve"> </w:t>
      </w:r>
      <w:r w:rsidRPr="00057B24">
        <w:rPr>
          <w:rFonts w:ascii="Helvetica" w:hAnsi="Helvetica" w:cs="Helvetica"/>
          <w:color w:val="333333"/>
          <w:kern w:val="0"/>
          <w:sz w:val="27"/>
          <w:szCs w:val="27"/>
        </w:rPr>
        <w:t xml:space="preserve">to </w:t>
      </w:r>
      <w:r>
        <w:rPr>
          <w:rFonts w:ascii="Helvetica" w:hAnsi="Helvetica" w:cs="Helvetica"/>
          <w:color w:val="333333"/>
          <w:kern w:val="0"/>
          <w:sz w:val="27"/>
          <w:szCs w:val="27"/>
        </w:rPr>
        <w:t>first</w:t>
      </w:r>
      <w:r w:rsidRPr="00057B24">
        <w:rPr>
          <w:rFonts w:ascii="Helvetica" w:hAnsi="Helvetica" w:cs="Helvetica"/>
          <w:color w:val="333333"/>
          <w:kern w:val="0"/>
          <w:sz w:val="27"/>
          <w:szCs w:val="27"/>
        </w:rPr>
        <w:t xml:space="preserve"> 10 entrants in score ranking list.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10.4 For DX Entrants: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10.4.1 Top Ten Certificates will be issued to QRP Single Operator All Band Mix category in each continent</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10.4.2 Top Five Certificates will be issued to non-QRP Single Operator All Band Mix category in each continent</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11 General Rules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11.1 All transmitters and receivers must be located within a 500-meter diameter circle, or within the property limits of the station licensee’s address. All antennas must be physically connected by wires (i.e. feeder line) to the transmitters and receivers.</w:t>
      </w:r>
      <w:r>
        <w:rPr>
          <w:rFonts w:ascii="Helvetica" w:hAnsi="Helvetica" w:cs="Helvetica"/>
          <w:color w:val="333333"/>
          <w:kern w:val="0"/>
          <w:sz w:val="27"/>
          <w:szCs w:val="27"/>
        </w:rPr>
        <w:br/>
        <w:t>11.2 Entrants of all categories are allowed to use packet, WEB clusters, skimmer and RBN.</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11.3 Remote control of transmitting and receiving device are allowed, under the condition that all of the remotely controlled transmitters and receivers must be within only one location as required by 4.1, and no local transmitters and receivers are used.</w:t>
      </w:r>
      <w:r>
        <w:rPr>
          <w:rFonts w:ascii="Helvetica" w:hAnsi="Helvetica" w:cs="Helvetica"/>
          <w:color w:val="333333"/>
          <w:kern w:val="0"/>
          <w:sz w:val="27"/>
          <w:szCs w:val="27"/>
        </w:rPr>
        <w:br/>
        <w:t>11.4 Self-spotting is not allowed. Soliciting contacts by telephone, telex, internet, packet mail and other means during and before the contest are prohibited.</w:t>
      </w:r>
      <w:r>
        <w:rPr>
          <w:rFonts w:ascii="Helvetica" w:hAnsi="Helvetica" w:cs="Helvetica"/>
          <w:color w:val="333333"/>
          <w:kern w:val="0"/>
          <w:sz w:val="27"/>
          <w:szCs w:val="27"/>
        </w:rPr>
        <w:br/>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11.5 All mixed mode entrants can contact a same station only once in both of the CW and SSB mode. The following frequencies are recommended for contest QSOs, cross mode QSO is not allowed</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11.6 One and only one transmitting signal is allowed at any moment during the contest period.</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11.7 All contest functions such as operating, logging and spotting must be accomplished only by contest operator himself/herself, no other operator else is allowed to do assisting transmitting or receiving.</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12. Dupe</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12.1 Dupes are contacts made with the same station on the same band and the same mode. If the first contact between the two stations is valid, dupes have 0 points value. If the first contact is not valid, second (dupe) contact is accepted.</w:t>
      </w:r>
      <w:r>
        <w:rPr>
          <w:rFonts w:ascii="Helvetica" w:hAnsi="Helvetica" w:cs="Helvetica"/>
          <w:color w:val="333333"/>
          <w:kern w:val="0"/>
          <w:sz w:val="27"/>
          <w:szCs w:val="27"/>
        </w:rPr>
        <w:br/>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12.2 Dupe contacts are not penalized. It is not necessary to mark them in the log. Moreover, entrants are recommended to leave DUPES in the log file. PLEASE DO NOT DELETE DUPES!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13. General Rules for logging</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13.1 Contest logs in Cabrillo format to be submitted to the committee after the contest. The file name of the contest log should be 'your callsign.log’. The head of the submitted contest log must contain the intended category and full mail address including country name, for mailing of awards and/or certifications.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13.2 Logs saved as the format of Excel (log name should be “your callsign .xls”); csv (log name should be “your callsign .csv”); and notepad (log name should be “your callsign .txt”) are accepted. Paper logs are accepted if the total QSO numbers are less than 100. Paper log’s format should be Date (dd/mm/yy), Time (hhmm), Frequency, Mode, Call, RST-Sent, Power-Sent</w:t>
      </w:r>
      <w:r>
        <w:rPr>
          <w:rFonts w:ascii="Helvetica" w:hAnsi="Helvetica" w:cs="Helvetica" w:hint="eastAsia"/>
          <w:color w:val="333333"/>
          <w:kern w:val="0"/>
          <w:sz w:val="27"/>
          <w:szCs w:val="27"/>
        </w:rPr>
        <w:t>，</w:t>
      </w:r>
      <w:r>
        <w:rPr>
          <w:rFonts w:ascii="Helvetica" w:hAnsi="Helvetica" w:cs="Helvetica"/>
          <w:color w:val="333333"/>
          <w:kern w:val="0"/>
          <w:sz w:val="27"/>
          <w:szCs w:val="27"/>
        </w:rPr>
        <w:t>RST-Received</w:t>
      </w:r>
      <w:r>
        <w:rPr>
          <w:rFonts w:ascii="Helvetica" w:hAnsi="Helvetica" w:cs="Helvetica" w:hint="eastAsia"/>
          <w:color w:val="333333"/>
          <w:kern w:val="0"/>
          <w:sz w:val="27"/>
          <w:szCs w:val="27"/>
        </w:rPr>
        <w:t>，</w:t>
      </w:r>
      <w:r>
        <w:rPr>
          <w:rFonts w:ascii="Helvetica" w:hAnsi="Helvetica" w:cs="Helvetica"/>
          <w:color w:val="333333"/>
          <w:kern w:val="0"/>
          <w:sz w:val="27"/>
          <w:szCs w:val="27"/>
        </w:rPr>
        <w:t>Power-received.The head of log must contain the entrant’s callsign, name, address, zip code and category. If an entrant uses the paper log, those information should be written in the first page.</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13.3 All times in the log must be UTC.</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13.4 Contest log must include the contest exchanges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13.5 If the submitted log cannot be correctly converted to the text format, it will be treated as invalid.</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13.6 Calculation of the total scores is not necessary in the log, it will be officially calculated by the Contest Committee designated software.</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14 Deadline of Log Submission</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xml:space="preserve">14.1 All logs must be submitted within one month after the contest (before UTC 06:00 </w:t>
      </w:r>
      <w:r w:rsidRPr="004E354B">
        <w:rPr>
          <w:rFonts w:ascii="Helvetica" w:hAnsi="Helvetica" w:cs="Helvetica"/>
          <w:color w:val="333333"/>
          <w:kern w:val="0"/>
          <w:sz w:val="27"/>
          <w:szCs w:val="27"/>
        </w:rPr>
        <w:t>23 July, 2018</w:t>
      </w:r>
      <w:r>
        <w:rPr>
          <w:rFonts w:ascii="Helvetica" w:hAnsi="Helvetica" w:cs="Helvetica"/>
          <w:color w:val="333333"/>
          <w:kern w:val="0"/>
          <w:sz w:val="27"/>
          <w:szCs w:val="27"/>
        </w:rPr>
        <w:t>). In case of delayed submission of a contest log, a proper reason must be presented to the Contest Committee.</w:t>
      </w:r>
      <w:r>
        <w:rPr>
          <w:rFonts w:ascii="Helvetica" w:hAnsi="Helvetica" w:cs="Helvetica"/>
          <w:color w:val="333333"/>
          <w:kern w:val="0"/>
          <w:sz w:val="27"/>
          <w:szCs w:val="27"/>
        </w:rPr>
        <w:br/>
        <w:t>Logs dated after the deadline and without a proper reason are ineligible for an award.</w:t>
      </w:r>
      <w:r>
        <w:rPr>
          <w:rFonts w:ascii="Helvetica" w:hAnsi="Helvetica" w:cs="Helvetica"/>
          <w:color w:val="333333"/>
          <w:kern w:val="0"/>
          <w:sz w:val="27"/>
          <w:szCs w:val="27"/>
        </w:rPr>
        <w:br/>
        <w:t>14.2 Logs must be submitted via email: BY1RCA@163.com. Please make sure that the contest call and correct category is included in the subject line. Paper log should be mailed to :CRAC,China Radio Association. Address:No. 80,</w:t>
      </w:r>
      <w:smartTag w:uri="urn:schemas-microsoft-com:office:smarttags" w:element="address">
        <w:smartTag w:uri="urn:schemas-microsoft-com:office:smarttags" w:element="Street">
          <w:r>
            <w:rPr>
              <w:rFonts w:ascii="Helvetica" w:hAnsi="Helvetica" w:cs="Helvetica"/>
              <w:color w:val="333333"/>
              <w:kern w:val="0"/>
              <w:sz w:val="27"/>
              <w:szCs w:val="27"/>
            </w:rPr>
            <w:t>North Lishi Road</w:t>
          </w:r>
        </w:smartTag>
      </w:smartTag>
      <w:r>
        <w:rPr>
          <w:rFonts w:ascii="Helvetica" w:hAnsi="Helvetica" w:cs="Helvetica"/>
          <w:color w:val="333333"/>
          <w:kern w:val="0"/>
          <w:sz w:val="27"/>
          <w:szCs w:val="27"/>
        </w:rPr>
        <w:t>, Xicheng District, Beijing,100037, China. A mark of 'QRP Golden Weekend' is required on the envelope.</w:t>
      </w:r>
    </w:p>
    <w:p w:rsidR="003B092B" w:rsidRDefault="003B092B">
      <w:pPr>
        <w:widowControl/>
        <w:spacing w:before="100" w:beforeAutospacing="1" w:after="390"/>
        <w:jc w:val="left"/>
        <w:rPr>
          <w:rFonts w:ascii="Helvetica" w:hAnsi="Helvetica" w:cs="Helvetica"/>
          <w:color w:val="333333"/>
          <w:kern w:val="0"/>
          <w:sz w:val="23"/>
          <w:szCs w:val="23"/>
        </w:rPr>
      </w:pPr>
      <w:r>
        <w:rPr>
          <w:rFonts w:ascii="宋体" w:cs="Helvetica"/>
          <w:color w:val="333333"/>
          <w:kern w:val="0"/>
          <w:sz w:val="27"/>
          <w:szCs w:val="27"/>
        </w:rPr>
        <w:br/>
      </w:r>
      <w:r>
        <w:rPr>
          <w:rFonts w:ascii="Helvetica" w:hAnsi="Helvetica" w:cs="Helvetica"/>
          <w:color w:val="333333"/>
          <w:kern w:val="0"/>
          <w:sz w:val="27"/>
          <w:szCs w:val="27"/>
        </w:rPr>
        <w:t>15 Penalties</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15.1 Following penalties are counted as double good QSO points</w:t>
      </w:r>
    </w:p>
    <w:p w:rsidR="003B092B" w:rsidRDefault="003B092B" w:rsidP="004E354B">
      <w:pPr>
        <w:widowControl/>
        <w:spacing w:before="100" w:beforeAutospacing="1"/>
        <w:jc w:val="left"/>
        <w:rPr>
          <w:rFonts w:ascii="Helvetica" w:hAnsi="Helvetica" w:cs="Helvetica"/>
          <w:color w:val="333333"/>
          <w:kern w:val="0"/>
          <w:sz w:val="27"/>
          <w:szCs w:val="27"/>
        </w:rPr>
      </w:pPr>
      <w:r>
        <w:rPr>
          <w:rFonts w:ascii="Helvetica" w:hAnsi="Helvetica" w:cs="Helvetica"/>
          <w:color w:val="333333"/>
          <w:kern w:val="0"/>
          <w:sz w:val="27"/>
          <w:szCs w:val="27"/>
        </w:rPr>
        <w:t>Incorrectly logged callsign (bad call);</w:t>
      </w:r>
    </w:p>
    <w:p w:rsidR="003B092B" w:rsidRDefault="003B092B" w:rsidP="004E354B">
      <w:pPr>
        <w:widowControl/>
        <w:spacing w:before="100" w:beforeAutospacing="1"/>
        <w:jc w:val="left"/>
        <w:rPr>
          <w:rFonts w:ascii="Helvetica" w:hAnsi="Helvetica" w:cs="Helvetica"/>
          <w:color w:val="333333"/>
          <w:kern w:val="0"/>
          <w:sz w:val="23"/>
          <w:szCs w:val="23"/>
        </w:rPr>
      </w:pPr>
      <w:r>
        <w:rPr>
          <w:rFonts w:ascii="Helvetica" w:hAnsi="Helvetica" w:cs="Helvetica"/>
          <w:color w:val="333333"/>
          <w:kern w:val="0"/>
          <w:sz w:val="27"/>
          <w:szCs w:val="27"/>
        </w:rPr>
        <w:t>Incorrectly logged exchange numbers;</w:t>
      </w:r>
    </w:p>
    <w:p w:rsidR="003B092B" w:rsidRDefault="003B092B" w:rsidP="004E354B">
      <w:pPr>
        <w:widowControl/>
        <w:spacing w:before="100" w:beforeAutospacing="1"/>
        <w:jc w:val="left"/>
        <w:rPr>
          <w:rFonts w:ascii="Helvetica" w:hAnsi="Helvetica" w:cs="Helvetica"/>
          <w:color w:val="333333"/>
          <w:kern w:val="0"/>
          <w:sz w:val="23"/>
          <w:szCs w:val="23"/>
        </w:rPr>
      </w:pPr>
      <w:r>
        <w:rPr>
          <w:rFonts w:ascii="Helvetica" w:hAnsi="Helvetica" w:cs="Helvetica"/>
          <w:color w:val="333333"/>
          <w:kern w:val="0"/>
          <w:sz w:val="27"/>
          <w:szCs w:val="27"/>
        </w:rPr>
        <w:t>QSO not in other station’s log (NIL).</w:t>
      </w:r>
      <w:r>
        <w:rPr>
          <w:rFonts w:ascii="Helvetica" w:hAnsi="Helvetica" w:cs="Helvetica"/>
          <w:color w:val="333333"/>
          <w:kern w:val="0"/>
          <w:sz w:val="27"/>
          <w:szCs w:val="27"/>
        </w:rPr>
        <w:br/>
      </w:r>
    </w:p>
    <w:p w:rsidR="003B092B" w:rsidRDefault="003B092B" w:rsidP="004E354B">
      <w:pPr>
        <w:widowControl/>
        <w:spacing w:before="100" w:beforeAutospacing="1"/>
        <w:jc w:val="left"/>
        <w:rPr>
          <w:rFonts w:ascii="Helvetica" w:hAnsi="Helvetica" w:cs="Helvetica"/>
          <w:color w:val="333333"/>
          <w:kern w:val="0"/>
          <w:sz w:val="23"/>
          <w:szCs w:val="23"/>
        </w:rPr>
      </w:pPr>
      <w:r>
        <w:rPr>
          <w:rFonts w:ascii="Helvetica" w:hAnsi="Helvetica" w:cs="Helvetica"/>
          <w:color w:val="333333"/>
          <w:kern w:val="0"/>
          <w:sz w:val="27"/>
          <w:szCs w:val="27"/>
        </w:rPr>
        <w:t>15.2 QSO is neither counted nor penalized for the followings:</w:t>
      </w:r>
    </w:p>
    <w:p w:rsidR="003B092B" w:rsidRDefault="003B092B" w:rsidP="004E354B">
      <w:pPr>
        <w:widowControl/>
        <w:spacing w:before="100" w:beforeAutospacing="1"/>
        <w:jc w:val="left"/>
        <w:rPr>
          <w:rFonts w:ascii="Helvetica" w:hAnsi="Helvetica" w:cs="Helvetica"/>
          <w:color w:val="333333"/>
          <w:kern w:val="0"/>
          <w:sz w:val="23"/>
          <w:szCs w:val="23"/>
        </w:rPr>
      </w:pPr>
      <w:r>
        <w:rPr>
          <w:rFonts w:ascii="Helvetica" w:hAnsi="Helvetica" w:cs="Helvetica"/>
          <w:color w:val="333333"/>
          <w:kern w:val="0"/>
          <w:sz w:val="27"/>
          <w:szCs w:val="27"/>
        </w:rPr>
        <w:t>Other station incorrectly logged entrant’s call;</w:t>
      </w:r>
    </w:p>
    <w:p w:rsidR="003B092B" w:rsidRDefault="003B092B" w:rsidP="004E354B">
      <w:pPr>
        <w:widowControl/>
        <w:spacing w:before="100" w:beforeAutospacing="1"/>
        <w:jc w:val="left"/>
        <w:rPr>
          <w:rFonts w:ascii="Helvetica" w:hAnsi="Helvetica" w:cs="Helvetica"/>
          <w:color w:val="333333"/>
          <w:kern w:val="0"/>
          <w:sz w:val="23"/>
          <w:szCs w:val="23"/>
        </w:rPr>
      </w:pPr>
      <w:r>
        <w:rPr>
          <w:rFonts w:ascii="Helvetica" w:hAnsi="Helvetica" w:cs="Helvetica"/>
          <w:color w:val="333333"/>
          <w:kern w:val="0"/>
          <w:sz w:val="27"/>
          <w:szCs w:val="27"/>
        </w:rPr>
        <w:t>Other station incorrectly logged entrant’s exchange</w:t>
      </w:r>
    </w:p>
    <w:p w:rsidR="003B092B" w:rsidRDefault="003B092B" w:rsidP="004E354B">
      <w:pPr>
        <w:widowControl/>
        <w:spacing w:before="100" w:beforeAutospacing="1"/>
        <w:jc w:val="left"/>
        <w:rPr>
          <w:rFonts w:ascii="Helvetica" w:hAnsi="Helvetica" w:cs="Helvetica"/>
          <w:color w:val="333333"/>
          <w:kern w:val="0"/>
          <w:sz w:val="23"/>
          <w:szCs w:val="23"/>
        </w:rPr>
      </w:pPr>
      <w:r>
        <w:rPr>
          <w:rFonts w:ascii="Helvetica" w:hAnsi="Helvetica" w:cs="Helvetica"/>
          <w:color w:val="333333"/>
          <w:kern w:val="0"/>
          <w:sz w:val="27"/>
          <w:szCs w:val="27"/>
        </w:rPr>
        <w:t>QSO bands or modes in entrant’s log that not match other station’s log</w:t>
      </w:r>
    </w:p>
    <w:p w:rsidR="003B092B" w:rsidRDefault="003B092B" w:rsidP="004E354B">
      <w:pPr>
        <w:widowControl/>
        <w:spacing w:before="100" w:beforeAutospacing="1"/>
        <w:jc w:val="left"/>
        <w:rPr>
          <w:rFonts w:ascii="Helvetica" w:hAnsi="Helvetica" w:cs="Helvetica"/>
          <w:color w:val="333333"/>
          <w:kern w:val="0"/>
          <w:sz w:val="23"/>
          <w:szCs w:val="23"/>
        </w:rPr>
      </w:pPr>
      <w:r>
        <w:rPr>
          <w:rFonts w:ascii="Helvetica" w:hAnsi="Helvetica" w:cs="Helvetica"/>
          <w:color w:val="333333"/>
          <w:kern w:val="0"/>
          <w:sz w:val="27"/>
          <w:szCs w:val="27"/>
        </w:rPr>
        <w:t>Dupe QSO which is not in the other station’s log.</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16. Punishment</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If an entrant has a behavior of violation of morality (e.g. Self spotting or equivalent; using high power but claim low power category) during the contest to improve contest scores, or if there is enough proof indicating behaviors against  regulations related to amateur radio of his or her own countries, the contest committee will take actions like issuing a warning, subtract scores or disqualifying.</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w:t>
      </w:r>
    </w:p>
    <w:p w:rsidR="003B092B" w:rsidRDefault="003B092B">
      <w:pPr>
        <w:widowControl/>
        <w:spacing w:before="100" w:beforeAutospacing="1" w:after="390"/>
        <w:jc w:val="left"/>
        <w:rPr>
          <w:rFonts w:ascii="Helvetica" w:hAnsi="Helvetica" w:cs="Helvetica"/>
          <w:color w:val="333333"/>
          <w:kern w:val="0"/>
          <w:sz w:val="23"/>
          <w:szCs w:val="23"/>
        </w:rPr>
      </w:pPr>
      <w:r>
        <w:rPr>
          <w:rFonts w:ascii="Helvetica" w:hAnsi="Helvetica" w:cs="Helvetica"/>
          <w:color w:val="333333"/>
          <w:kern w:val="0"/>
          <w:sz w:val="27"/>
          <w:szCs w:val="27"/>
        </w:rPr>
        <w:t xml:space="preserve">17. This rules are made by CRAC. The CRAC’s decision is final. Awards and punishment list will be announced on October </w:t>
      </w:r>
      <w:r w:rsidRPr="004E354B">
        <w:rPr>
          <w:rFonts w:ascii="Helvetica" w:hAnsi="Helvetica" w:cs="Helvetica"/>
          <w:color w:val="333333"/>
          <w:kern w:val="0"/>
          <w:sz w:val="27"/>
          <w:szCs w:val="27"/>
        </w:rPr>
        <w:t>2018 at CRAC’s official website: http://www.crac.org.cn. Certificates and souvenirs will be delivered by the end of December, 2018.</w:t>
      </w:r>
    </w:p>
    <w:p w:rsidR="003B092B" w:rsidRDefault="003B092B"/>
    <w:sectPr w:rsidR="003B092B" w:rsidSect="00A01AAB">
      <w:pgSz w:w="11906" w:h="16838"/>
      <w:pgMar w:top="1440" w:right="1274"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DDE"/>
    <w:rsid w:val="00057B24"/>
    <w:rsid w:val="0025039E"/>
    <w:rsid w:val="002D3372"/>
    <w:rsid w:val="003B092B"/>
    <w:rsid w:val="004740F6"/>
    <w:rsid w:val="004E354B"/>
    <w:rsid w:val="00592E73"/>
    <w:rsid w:val="00610CFC"/>
    <w:rsid w:val="00641C90"/>
    <w:rsid w:val="009B10E9"/>
    <w:rsid w:val="00A01AAB"/>
    <w:rsid w:val="00AE0B4B"/>
    <w:rsid w:val="00B215DA"/>
    <w:rsid w:val="00B71FD8"/>
    <w:rsid w:val="00CE3DDE"/>
    <w:rsid w:val="00D02F1A"/>
    <w:rsid w:val="00F633B2"/>
    <w:rsid w:val="00FD5022"/>
    <w:rsid w:val="0CEF6093"/>
    <w:rsid w:val="16774EF8"/>
    <w:rsid w:val="1D6A73A0"/>
    <w:rsid w:val="245763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AA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1A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01AAB"/>
    <w:rPr>
      <w:rFonts w:cs="Times New Roman"/>
      <w:sz w:val="18"/>
      <w:szCs w:val="18"/>
    </w:rPr>
  </w:style>
  <w:style w:type="paragraph" w:styleId="Header">
    <w:name w:val="header"/>
    <w:basedOn w:val="Normal"/>
    <w:link w:val="HeaderChar"/>
    <w:uiPriority w:val="99"/>
    <w:rsid w:val="00A01A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01AAB"/>
    <w:rPr>
      <w:rFonts w:cs="Times New Roman"/>
      <w:sz w:val="18"/>
      <w:szCs w:val="18"/>
    </w:rPr>
  </w:style>
  <w:style w:type="table" w:styleId="TableGrid">
    <w:name w:val="Table Grid"/>
    <w:basedOn w:val="TableNormal"/>
    <w:uiPriority w:val="99"/>
    <w:rsid w:val="00A01AA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57B24"/>
    <w:rPr>
      <w:sz w:val="18"/>
      <w:szCs w:val="18"/>
    </w:rPr>
  </w:style>
  <w:style w:type="character" w:customStyle="1" w:styleId="BalloonTextChar">
    <w:name w:val="Balloon Text Char"/>
    <w:basedOn w:val="DefaultParagraphFont"/>
    <w:link w:val="BalloonText"/>
    <w:uiPriority w:val="99"/>
    <w:semiHidden/>
    <w:locked/>
    <w:rsid w:val="00057B24"/>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9</Pages>
  <Words>1411</Words>
  <Characters>8045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CRAC</cp:lastModifiedBy>
  <cp:revision>10</cp:revision>
  <cp:lastPrinted>2018-05-18T14:44:00Z</cp:lastPrinted>
  <dcterms:created xsi:type="dcterms:W3CDTF">2017-05-22T15:08:00Z</dcterms:created>
  <dcterms:modified xsi:type="dcterms:W3CDTF">2018-05-29T07:02:00Z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